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28" w:left="-1" w:right="-5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40"/>
          <w:szCs w:val="40"/>
        </w:rPr>
        <w:t>輔仁大學</w:t>
      </w:r>
      <w:r>
        <w:rPr>
          <w:rFonts w:eastAsia="標楷體" w:ascii="標楷體" w:hAnsi="標楷體"/>
          <w:sz w:val="40"/>
          <w:szCs w:val="40"/>
        </w:rPr>
        <w:t>11</w:t>
      </w:r>
      <w:r>
        <w:rPr>
          <w:rFonts w:eastAsia="標楷體" w:ascii="標楷體" w:hAnsi="標楷體"/>
          <w:sz w:val="40"/>
          <w:szCs w:val="40"/>
        </w:rPr>
        <w:t>4</w:t>
      </w:r>
      <w:r>
        <w:rPr>
          <w:rFonts w:ascii="標楷體" w:hAnsi="標楷體" w:eastAsia="標楷體"/>
          <w:sz w:val="40"/>
          <w:szCs w:val="40"/>
        </w:rPr>
        <w:t>學年度各院系所一覽表</w:t>
      </w:r>
      <w:r>
        <w:rPr>
          <w:rFonts w:eastAsia="標楷體" w:ascii="標楷體" w:hAnsi="標楷體"/>
          <w:sz w:val="40"/>
          <w:szCs w:val="40"/>
        </w:rPr>
        <w:t>(</w:t>
      </w:r>
      <w:r>
        <w:rPr>
          <w:rFonts w:ascii="標楷體" w:hAnsi="標楷體" w:eastAsia="標楷體"/>
          <w:sz w:val="40"/>
          <w:szCs w:val="40"/>
        </w:rPr>
        <w:t>全銜</w:t>
      </w:r>
      <w:r>
        <w:rPr>
          <w:rFonts w:eastAsia="標楷體" w:ascii="標楷體" w:hAnsi="標楷體"/>
          <w:sz w:val="40"/>
          <w:szCs w:val="40"/>
        </w:rPr>
        <w:t>)</w:t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983"/>
        <w:gridCol w:w="2821"/>
        <w:gridCol w:w="3098"/>
        <w:gridCol w:w="1551"/>
        <w:gridCol w:w="2537"/>
        <w:gridCol w:w="3501"/>
        <w:gridCol w:w="1054"/>
      </w:tblGrid>
      <w:tr>
        <w:trPr>
          <w:tblHeader w:val="true"/>
          <w:trHeight w:val="553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60" w:before="180" w:after="0"/>
              <w:jc w:val="both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eastAsia="DFKai-SB" w:cs="DFKai-SB" w:ascii="DFKai-SB" w:hAnsi="DFKai-SB"/>
                <w:color w:themeColor="text1" w:val="000000"/>
              </w:rPr>
              <mc:AlternateContent>
                <mc:Choice Requires="wps">
                  <w:drawing>
                    <wp:anchor behindDoc="0" distT="0" distB="3175" distL="3175" distR="3175" simplePos="0" locked="0" layoutInCell="1" allowOverlap="1" relativeHeight="5" wp14:anchorId="611F7828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31115</wp:posOffset>
                      </wp:positionV>
                      <wp:extent cx="527050" cy="406400"/>
                      <wp:effectExtent l="0" t="0" r="0" b="0"/>
                      <wp:wrapNone/>
                      <wp:docPr id="1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40" cy="406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7"/>
                                    <w:rPr>
                                      <w:rFonts w:ascii="標楷體" w:hAnsi="標楷體" w:eastAsia="標楷體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5" path="m0,0l-2147483645,0l-2147483645,-2147483646l0,-2147483646xe" fillcolor="white" stroked="f" o:allowincell="f" style="position:absolute;margin-left:43.15pt;margin-top:2.45pt;width:41.45pt;height:31.95pt;mso-wrap-style:none;v-text-anchor:middle" wp14:anchorId="611F7828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7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0" distB="3175" distL="6350" distR="6350" simplePos="0" locked="0" layoutInCell="1" allowOverlap="1" relativeHeight="10" wp14:anchorId="2B01512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132715</wp:posOffset>
                      </wp:positionV>
                      <wp:extent cx="615950" cy="304800"/>
                      <wp:effectExtent l="0" t="0" r="0" b="0"/>
                      <wp:wrapNone/>
                      <wp:docPr id="2" name="Text Box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60" cy="304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7"/>
                                    <w:rPr>
                                      <w:rFonts w:ascii="標楷體" w:hAnsi="標楷體" w:eastAsia="標楷體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6" path="m0,0l-2147483645,0l-2147483645,-2147483646l0,-2147483646xe" fillcolor="white" stroked="f" o:allowincell="f" style="position:absolute;margin-left:-5.35pt;margin-top:10.45pt;width:48.45pt;height:23.95pt;mso-wrap-style:none;v-text-anchor:middle" wp14:anchorId="2B015127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7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60"/>
              <w:jc w:val="center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學士班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60"/>
              <w:jc w:val="center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碩士班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60"/>
              <w:jc w:val="center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博士班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60"/>
              <w:jc w:val="center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進修學士班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60"/>
              <w:jc w:val="center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碩士在職專班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60"/>
              <w:jc w:val="center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二年制在職專班</w:t>
            </w:r>
          </w:p>
        </w:tc>
      </w:tr>
      <w:tr>
        <w:trPr>
          <w:trHeight w:val="624" w:hRule="atLeast"/>
          <w:cantSplit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文學院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中國文學系、歷史學系、哲學系、</w:t>
            </w: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人文與社區創新學士學位學程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中國文學系、歷史學系、哲學系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中國文學系、哲學系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中國文學系、歷史學系、</w:t>
            </w:r>
            <w:r>
              <w:rPr>
                <w:rFonts w:ascii="DFKai-SB" w:hAnsi="DFKai-SB" w:cs="DFKai-SB" w:eastAsia="DFKai-SB"/>
                <w:strike/>
                <w:color w:themeColor="background1" w:themeShade="80" w:val="808080"/>
                <w:sz w:val="22"/>
                <w:szCs w:val="22"/>
              </w:rPr>
              <w:t>哲學系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18"/>
                <w:szCs w:val="18"/>
              </w:rPr>
              <w:t>(</w:t>
            </w:r>
            <w:r>
              <w:rPr>
                <w:rFonts w:ascii="DFKai-SB" w:hAnsi="DFKai-SB" w:cs="DFKai-SB" w:eastAsia="DFKai-SB"/>
                <w:color w:themeColor="background1" w:themeShade="80" w:val="808080"/>
                <w:sz w:val="18"/>
                <w:szCs w:val="18"/>
              </w:rPr>
              <w:t>停招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18"/>
                <w:szCs w:val="18"/>
              </w:rPr>
              <w:t>)</w:t>
            </w:r>
            <w:r>
              <w:rPr>
                <w:rFonts w:ascii="DFKai-SB" w:hAnsi="DFKai-SB" w:cs="DFKai-SB" w:eastAsia="DFKai-SB"/>
                <w:sz w:val="22"/>
                <w:szCs w:val="22"/>
              </w:rPr>
              <w:t>、人文社會服務進修學士學位學程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哲學系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sz w:val="22"/>
                <w:szCs w:val="22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藝術學院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音樂學系、應用美術學系、景觀設計學系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音樂學系、應用美術學系、景觀設計學系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音樂學系</w:t>
            </w:r>
            <w:r>
              <w:rPr>
                <w:rFonts w:eastAsia="DFKai-SB" w:cs="DFKai-SB" w:ascii="DFKai-SB" w:hAnsi="DFKai-SB"/>
                <w:color w:themeColor="text1" w:val="000000"/>
                <w:sz w:val="20"/>
                <w:szCs w:val="20"/>
              </w:rPr>
              <w:t>(</w:t>
            </w:r>
            <w:r>
              <w:rPr>
                <w:rFonts w:ascii="DFKai-SB" w:hAnsi="DFKai-SB" w:cs="DFKai-SB" w:eastAsia="DFKai-SB"/>
                <w:color w:themeColor="text1" w:val="000000"/>
                <w:sz w:val="20"/>
                <w:szCs w:val="20"/>
              </w:rPr>
              <w:t>演奏組、音樂學組</w:t>
            </w:r>
            <w:r>
              <w:rPr>
                <w:rFonts w:eastAsia="DFKai-SB" w:cs="DFKai-SB" w:ascii="DFKai-SB" w:hAnsi="DFKai-SB"/>
                <w:color w:themeColor="text1" w:val="000000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應用美術學系、藝術與文化創意學士學位學程、室內設計進修學士學位學程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音樂學系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sz w:val="22"/>
                <w:szCs w:val="22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傳播學院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影像傳播學系、廣告傳播學系、新聞傳播學系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大眾傳播學研究所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大眾傳播學士學位學程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大眾傳播學研究所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sz w:val="22"/>
                <w:szCs w:val="22"/>
              </w:rPr>
            </w:r>
          </w:p>
        </w:tc>
      </w:tr>
      <w:tr>
        <w:trPr>
          <w:trHeight w:val="1304" w:hRule="atLeast"/>
          <w:cantSplit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教育學院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體育學系</w:t>
            </w:r>
            <w:r>
              <w:rPr>
                <w:rFonts w:eastAsia="DFKai-SB" w:cs="DFKai-SB" w:ascii="DFKai-SB" w:hAnsi="DFKai-SB"/>
                <w:color w:themeColor="text1" w:val="000000"/>
                <w:sz w:val="20"/>
                <w:szCs w:val="20"/>
              </w:rPr>
              <w:t>(</w:t>
            </w:r>
            <w:r>
              <w:rPr>
                <w:rFonts w:ascii="DFKai-SB" w:hAnsi="DFKai-SB" w:cs="DFKai-SB" w:eastAsia="DFKai-SB"/>
                <w:color w:themeColor="text1" w:val="000000"/>
                <w:sz w:val="20"/>
                <w:szCs w:val="20"/>
              </w:rPr>
              <w:t>體育學組、運動競技組、運動健康管理組</w:t>
            </w:r>
            <w:r>
              <w:rPr>
                <w:rFonts w:eastAsia="DFKai-SB" w:cs="DFKai-SB" w:ascii="DFKai-SB" w:hAnsi="DFKai-SB"/>
                <w:color w:themeColor="text1" w:val="000000"/>
                <w:sz w:val="20"/>
                <w:szCs w:val="20"/>
              </w:rPr>
              <w:t>)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、圖書資訊學系、教育領導與科技發展學士學位學程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體育學系、圖書資訊學系、教育領導與發展研究所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trike/>
                <w:color w:themeColor="background1" w:themeShade="80" w:val="808080"/>
                <w:sz w:val="22"/>
                <w:szCs w:val="22"/>
              </w:rPr>
              <w:t>圖書資訊學系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18"/>
                <w:szCs w:val="18"/>
              </w:rPr>
              <w:t>(</w:t>
            </w:r>
            <w:r>
              <w:rPr>
                <w:rFonts w:ascii="DFKai-SB" w:hAnsi="DFKai-SB" w:cs="DFKai-SB" w:eastAsia="DFKai-SB"/>
                <w:color w:themeColor="background1" w:themeShade="80" w:val="808080"/>
                <w:sz w:val="18"/>
                <w:szCs w:val="18"/>
              </w:rPr>
              <w:t>停招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18"/>
                <w:szCs w:val="18"/>
              </w:rPr>
              <w:t>)</w:t>
            </w:r>
            <w:r>
              <w:rPr>
                <w:rFonts w:ascii="DFKai-SB" w:hAnsi="DFKai-SB" w:cs="DFKai-SB" w:eastAsia="DFKai-SB"/>
                <w:color w:themeColor="background1" w:themeShade="80" w:val="808080"/>
                <w:sz w:val="22"/>
                <w:szCs w:val="22"/>
              </w:rPr>
              <w:t>、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運動休閒管理學士學位學程、</w:t>
            </w:r>
            <w:r>
              <w:rPr>
                <w:rFonts w:ascii="DFKai-SB" w:hAnsi="DFKai-SB" w:cs="DFKai-SB" w:eastAsia="DFKai-SB"/>
                <w:color w:val="FF0000"/>
                <w:sz w:val="22"/>
                <w:szCs w:val="22"/>
              </w:rPr>
              <w:t>運動資訊與健康生活進修學士學位學程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（更名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教育領導與發展研究所、體育學系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sz w:val="22"/>
                <w:szCs w:val="22"/>
              </w:rPr>
            </w:r>
          </w:p>
        </w:tc>
      </w:tr>
      <w:tr>
        <w:trPr>
          <w:trHeight w:val="1361" w:hRule="atLeast"/>
          <w:cantSplit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</w:rPr>
            </w:pPr>
            <w:r>
              <w:rPr>
                <w:rFonts w:ascii="DFKai-SB" w:hAnsi="DFKai-SB" w:cs="DFKai-SB" w:eastAsia="DFKai-SB"/>
              </w:rPr>
              <w:t>醫學院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護理學系、公共衛生學系、臨床心理學系、醫學系、職能治療學系</w:t>
            </w:r>
            <w:r>
              <w:rPr>
                <w:rFonts w:ascii="DFKai-SB" w:hAnsi="DFKai-SB" w:cs="DFKai-SB" w:eastAsia="DFKai-SB"/>
                <w:i/>
                <w:iCs/>
                <w:color w:themeColor="text1" w:val="000000"/>
                <w:sz w:val="22"/>
                <w:szCs w:val="22"/>
              </w:rPr>
              <w:t>、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呼吸治療學系、</w:t>
            </w: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學士後護理學系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護理學系、公共衛生學系、臨床心理學系、生物醫學暨藥學研究所、</w:t>
            </w:r>
            <w:r>
              <w:rPr>
                <w:rFonts w:ascii="DFKai-SB" w:hAnsi="DFKai-SB" w:cs="DFKai-SB" w:eastAsia="DFKai-SB"/>
                <w:sz w:val="22"/>
                <w:szCs w:val="22"/>
              </w:rPr>
              <w:t>醫療暨健康產業大數據碩士學位學程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生技醫藥博士學位學程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長期照護與健康管理進修學士學位學程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70C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跨專業長期照護碩士學位學程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護理學系</w:t>
            </w:r>
          </w:p>
        </w:tc>
      </w:tr>
      <w:tr>
        <w:trPr>
          <w:trHeight w:val="2010" w:hRule="atLeast"/>
          <w:cantSplit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理工學院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數學系</w:t>
            </w:r>
            <w:r>
              <w:rPr>
                <w:rFonts w:eastAsia="DFKai-SB" w:cs="DFKai-SB" w:ascii="DFKai-SB" w:hAnsi="DFKai-SB"/>
                <w:color w:val="000000"/>
                <w:sz w:val="20"/>
                <w:szCs w:val="20"/>
              </w:rPr>
              <w:t>(</w:t>
            </w:r>
            <w:r>
              <w:rPr>
                <w:rFonts w:ascii="DFKai-SB" w:hAnsi="DFKai-SB" w:cs="DFKai-SB" w:eastAsia="DFKai-SB"/>
                <w:color w:val="000000"/>
                <w:sz w:val="20"/>
                <w:szCs w:val="20"/>
              </w:rPr>
              <w:t>應用數學組、資訊數學組</w:t>
            </w:r>
            <w:r>
              <w:rPr>
                <w:rFonts w:eastAsia="DFKai-SB" w:cs="DFKai-SB" w:ascii="DFKai-SB" w:hAnsi="DFKai-SB"/>
                <w:color w:val="000000"/>
                <w:sz w:val="20"/>
                <w:szCs w:val="20"/>
              </w:rPr>
              <w:t>)</w:t>
            </w:r>
            <w:r>
              <w:rPr>
                <w:rFonts w:ascii="DFKai-SB" w:hAnsi="DFKai-SB" w:cs="DFKai-SB" w:eastAsia="DFKai-SB"/>
              </w:rPr>
              <w:t>、</w:t>
            </w:r>
            <w:r>
              <w:rPr>
                <w:rFonts w:ascii="DFKai-SB" w:hAnsi="DFKai-SB" w:cs="DFKai-SB" w:eastAsia="DFKai-SB"/>
                <w:sz w:val="22"/>
                <w:szCs w:val="22"/>
              </w:rPr>
              <w:t>物理學系</w:t>
            </w:r>
            <w:r>
              <w:rPr>
                <w:rFonts w:eastAsia="DFKai-SB" w:cs="DFKai-SB" w:ascii="DFKai-SB" w:hAnsi="DFKai-SB"/>
                <w:color w:val="000000"/>
                <w:sz w:val="20"/>
                <w:szCs w:val="20"/>
              </w:rPr>
              <w:t>(</w:t>
            </w:r>
            <w:r>
              <w:rPr>
                <w:rFonts w:ascii="DFKai-SB" w:hAnsi="DFKai-SB" w:cs="DFKai-SB" w:eastAsia="DFKai-SB"/>
                <w:strike/>
                <w:color w:val="auto"/>
                <w:sz w:val="20"/>
                <w:szCs w:val="20"/>
              </w:rPr>
              <w:t>物理組</w:t>
            </w:r>
            <w:r>
              <w:rPr>
                <w:rFonts w:eastAsia="DFKai-SB" w:cs="DFKai-SB" w:ascii="DFKai-SB" w:hAnsi="DFKai-SB"/>
                <w:color w:themeColor="text1" w:themeTint="a6" w:val="595959"/>
                <w:sz w:val="16"/>
                <w:szCs w:val="16"/>
              </w:rPr>
              <w:t>(</w:t>
            </w:r>
            <w:r>
              <w:rPr>
                <w:rFonts w:ascii="DFKai-SB" w:hAnsi="DFKai-SB" w:cs="DFKai-SB" w:eastAsia="DFKai-SB"/>
                <w:color w:themeColor="text1" w:themeTint="a6" w:val="595959"/>
                <w:sz w:val="16"/>
                <w:szCs w:val="16"/>
              </w:rPr>
              <w:t>停招</w:t>
            </w:r>
            <w:r>
              <w:rPr>
                <w:rFonts w:eastAsia="DFKai-SB" w:cs="DFKai-SB" w:ascii="DFKai-SB" w:hAnsi="DFKai-SB"/>
                <w:color w:themeColor="text1" w:themeTint="a6" w:val="595959"/>
                <w:sz w:val="16"/>
                <w:szCs w:val="16"/>
              </w:rPr>
              <w:t>)</w:t>
            </w:r>
            <w:r>
              <w:rPr>
                <w:rFonts w:ascii="DFKai-SB" w:hAnsi="DFKai-SB" w:cs="DFKai-SB" w:eastAsia="DFKai-SB"/>
                <w:color w:val="000000"/>
                <w:sz w:val="20"/>
                <w:szCs w:val="20"/>
              </w:rPr>
              <w:t>、光電物理組、</w:t>
            </w:r>
            <w:r>
              <w:rPr>
                <w:rFonts w:ascii="DFKai-SB" w:hAnsi="DFKai-SB" w:cs="DFKai-SB" w:eastAsia="DFKai-SB"/>
                <w:color w:val="auto"/>
                <w:sz w:val="20"/>
                <w:szCs w:val="20"/>
              </w:rPr>
              <w:t>電子物理組</w:t>
            </w:r>
            <w:r>
              <w:rPr>
                <w:rFonts w:eastAsia="DFKai-SB" w:cs="DFKai-SB" w:ascii="DFKai-SB" w:hAnsi="DFKai-SB"/>
                <w:color w:val="000000"/>
                <w:sz w:val="20"/>
                <w:szCs w:val="20"/>
              </w:rPr>
              <w:t>)</w:t>
            </w:r>
            <w:r>
              <w:rPr>
                <w:rFonts w:ascii="DFKai-SB" w:hAnsi="DFKai-SB" w:cs="DFKai-SB" w:eastAsia="DFKai-SB"/>
                <w:color w:val="000000"/>
                <w:sz w:val="22"/>
                <w:szCs w:val="22"/>
              </w:rPr>
              <w:t>、化學系、資訊工程學系、生命科學系、電機工程學系</w:t>
            </w:r>
            <w:r>
              <w:rPr>
                <w:rFonts w:ascii="DFKai-SB" w:hAnsi="DFKai-SB" w:cs="DFKai-SB" w:eastAsia="DFKai-SB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DFKai-SB" w:hAnsi="DFKai-SB" w:cs="DFKai-SB" w:eastAsia="DFKai-SB"/>
                <w:color w:val="000000"/>
                <w:sz w:val="22"/>
                <w:szCs w:val="22"/>
              </w:rPr>
              <w:t>醫學資訊與創新應用學士學位學程、人工智慧與資訊安全學士學位學程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數學系、物理學系、化學系、資訊工程學系、生命科學系、電機工程學系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化學系、應用科學與工程研究所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70C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軟體工程與數位創意學士學位學程、</w:t>
            </w:r>
            <w:r>
              <w:rPr>
                <w:rFonts w:ascii="DFKai-SB" w:hAnsi="DFKai-SB" w:cs="DFKai-SB" w:eastAsia="DFKai-SB"/>
                <w:strike/>
                <w:color w:val="auto"/>
                <w:sz w:val="22"/>
                <w:szCs w:val="22"/>
              </w:rPr>
              <w:t>醫學資訊與健康科技進修學士學位學程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22"/>
                <w:szCs w:val="22"/>
              </w:rPr>
              <w:t>(</w:t>
            </w:r>
            <w:r>
              <w:rPr>
                <w:rFonts w:ascii="DFKai-SB" w:hAnsi="DFKai-SB" w:cs="DFKai-SB" w:eastAsia="DFKai-SB"/>
                <w:color w:themeColor="background1" w:themeShade="80" w:val="808080"/>
                <w:sz w:val="22"/>
                <w:szCs w:val="22"/>
              </w:rPr>
              <w:t>停招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22"/>
                <w:szCs w:val="22"/>
              </w:rPr>
              <w:t>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ind w:hanging="1" w:left="126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資訊工程學系、</w:t>
            </w:r>
            <w:r>
              <w:rPr>
                <w:rFonts w:ascii="DFKai-SB" w:hAnsi="DFKai-SB" w:cs="DFKai-SB" w:eastAsia="DFKai-SB"/>
                <w:strike/>
                <w:color w:themeColor="text1" w:themeTint="a6" w:val="595959"/>
                <w:sz w:val="22"/>
                <w:szCs w:val="22"/>
              </w:rPr>
              <w:t>電機工程學系</w:t>
            </w:r>
            <w:r>
              <w:rPr>
                <w:rFonts w:eastAsia="DFKai-SB" w:cs="DFKai-SB" w:ascii="DFKai-SB" w:hAnsi="DFKai-SB"/>
                <w:color w:themeColor="text1" w:themeTint="a6" w:val="595959"/>
                <w:sz w:val="16"/>
                <w:szCs w:val="16"/>
              </w:rPr>
              <w:t>(</w:t>
            </w:r>
            <w:r>
              <w:rPr>
                <w:rFonts w:ascii="DFKai-SB" w:hAnsi="DFKai-SB" w:cs="DFKai-SB" w:eastAsia="DFKai-SB"/>
                <w:color w:themeColor="text1" w:themeTint="a6" w:val="595959"/>
                <w:sz w:val="16"/>
                <w:szCs w:val="16"/>
              </w:rPr>
              <w:t>停招</w:t>
            </w:r>
            <w:r>
              <w:rPr>
                <w:rFonts w:eastAsia="DFKai-SB" w:cs="DFKai-SB" w:ascii="DFKai-SB" w:hAnsi="DFKai-SB"/>
                <w:color w:themeColor="text1" w:themeTint="a6" w:val="595959"/>
                <w:sz w:val="16"/>
                <w:szCs w:val="16"/>
              </w:rPr>
              <w:t>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1531" w:hRule="atLeast"/>
          <w:cantSplit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外語學院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英國語文學系、德語語文學系、法國語文學系、西班牙語文學系、日本語文學系、義大利語文學系、</w:t>
            </w: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國際溝通與科技創新學士學位學程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英國語文學系、德語語文學系、法國語文學系、西班牙語文學系、日本語文學系、</w:t>
            </w: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跨文化研究所華語教學與語言科技碩士班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、跨文化研究所翻譯學碩士班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跨文化研究所比較文學與跨文化研究博士班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英國語文學系、日本語文學系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跨文化研究所翻譯學碩士在職專班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907" w:hRule="atLeast"/>
          <w:cantSplit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民生學院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食品科學系、營養科學系、兒童與家庭學系</w:t>
            </w:r>
            <w:r>
              <w:rPr>
                <w:rFonts w:ascii="DFKai-SB" w:hAnsi="DFKai-SB" w:cs="DFKai-SB" w:eastAsia="DFKai-SB"/>
                <w:color w:themeColor="text1" w:val="000000"/>
                <w:sz w:val="20"/>
                <w:szCs w:val="20"/>
              </w:rPr>
              <w:t>（</w:t>
            </w:r>
            <w:r>
              <w:rPr>
                <w:rFonts w:ascii="DFKai-SB" w:hAnsi="DFKai-SB" w:cs="DFKai-SB" w:eastAsia="DFKai-SB"/>
                <w:color w:val="auto"/>
                <w:sz w:val="20"/>
                <w:szCs w:val="20"/>
              </w:rPr>
              <w:t>學士後學位學程教保員專班</w:t>
            </w:r>
            <w:r>
              <w:rPr>
                <w:rFonts w:ascii="DFKai-SB" w:hAnsi="DFKai-SB" w:cs="DFKai-SB" w:eastAsia="DFKai-SB"/>
                <w:color w:themeColor="text1" w:val="000000"/>
                <w:sz w:val="20"/>
                <w:szCs w:val="20"/>
              </w:rPr>
              <w:t>）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、餐旅管理學系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食品科學系、營養科學系、兒童與家庭學系、餐旅管理學系、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食品營養博士學位學程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餐旅管理學系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ind w:firstLine="2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兒童與家庭學系、餐旅管理學系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850" w:hRule="atLeast"/>
          <w:cantSplit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織品服裝學院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織品服裝學系</w:t>
            </w:r>
            <w:r>
              <w:rPr>
                <w:rFonts w:eastAsia="DFKai-SB" w:cs="DFKai-SB" w:ascii="DFKai-SB" w:hAnsi="DFKai-SB"/>
                <w:color w:themeColor="text1" w:val="000000"/>
                <w:kern w:val="0"/>
                <w:sz w:val="20"/>
                <w:szCs w:val="20"/>
              </w:rPr>
              <w:t>(</w:t>
            </w:r>
            <w:r>
              <w:rPr>
                <w:rFonts w:ascii="DFKai-SB" w:hAnsi="DFKai-SB" w:cs="DFKai-SB" w:eastAsia="DFKai-SB"/>
                <w:color w:themeColor="text1" w:val="000000"/>
                <w:kern w:val="0"/>
                <w:sz w:val="20"/>
                <w:szCs w:val="20"/>
              </w:rPr>
              <w:t>織品設計組、服飾設計組、織品服飾行銷組</w:t>
            </w:r>
            <w:r>
              <w:rPr>
                <w:rFonts w:eastAsia="DFKai-SB" w:cs="DFKai-SB" w:ascii="DFKai-SB" w:hAnsi="DFKai-SB"/>
                <w:color w:themeColor="text1"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織品服裝學系、博物館學研究所、品牌與時尚經營管理碩士學位學程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themeColor="text1" w:val="000000"/>
                <w:sz w:val="22"/>
                <w:szCs w:val="22"/>
              </w:rPr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服飾採購與行銷進修學士學位學程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ind w:firstLine="2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織品服裝學系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trike/>
                <w:color w:themeColor="text1"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strike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730" w:hRule="atLeast"/>
          <w:cantSplit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法律學院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法律學系、財經法律學系、學士後法律學系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法律學系、財經法律學系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法律學系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法律學系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法律學系、財經法律學系原住民碩士在職專班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896" w:hRule="atLeast"/>
          <w:cantSplit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社會科學院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社會學系、社會工作學系、經濟學系、宗教學系、天主教研修學士學位學程、心理學系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社會學系、社會工作學系、經濟學系、宗教學系、心理學系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宗教學系、心理學系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經濟學系、</w:t>
            </w:r>
            <w:r>
              <w:rPr>
                <w:rFonts w:ascii="DFKai-SB" w:hAnsi="DFKai-SB" w:cs="DFKai-SB" w:eastAsia="DFKai-SB"/>
                <w:strike/>
                <w:color w:themeColor="background1" w:themeShade="80" w:val="808080"/>
                <w:sz w:val="22"/>
                <w:szCs w:val="22"/>
              </w:rPr>
              <w:t>宗教學系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18"/>
                <w:szCs w:val="18"/>
              </w:rPr>
              <w:t>(</w:t>
            </w:r>
            <w:r>
              <w:rPr>
                <w:rFonts w:ascii="DFKai-SB" w:hAnsi="DFKai-SB" w:cs="DFKai-SB" w:eastAsia="DFKai-SB"/>
                <w:color w:themeColor="background1" w:themeShade="80" w:val="808080"/>
                <w:sz w:val="18"/>
                <w:szCs w:val="18"/>
              </w:rPr>
              <w:t>停招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18"/>
                <w:szCs w:val="18"/>
              </w:rPr>
              <w:t>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宗教學系、非營利組織管理碩士學位學程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2173" w:hRule="atLeast"/>
          <w:cantSplit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管理學院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企業管理學系、會計學系、統計資訊學系、資訊管理學系、金融與國際企業學系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color w:val="auto"/>
              </w:rPr>
            </w:pP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資訊管理學系、會計學系、國際經營管理碩士學位學程、企業管理學系管理學碩士班、金融與國際企業學系金融碩士班、統計資訊學系應用統計碩士班、</w:t>
            </w:r>
            <w:r>
              <w:rPr>
                <w:rFonts w:ascii="DFKai-SB" w:hAnsi="DFKai-SB" w:cs="DFKai-SB" w:eastAsia="DFKai-SB"/>
                <w:strike/>
                <w:color w:val="auto"/>
                <w:sz w:val="22"/>
                <w:szCs w:val="22"/>
              </w:rPr>
              <w:t>社會企業碩士學位學程</w:t>
            </w:r>
            <w:r>
              <w:rPr>
                <w:rFonts w:eastAsia="DFKai-SB" w:cs="DFKai-SB" w:ascii="DFKai-SB" w:hAnsi="DFKai-SB"/>
                <w:color w:val="auto"/>
                <w:sz w:val="22"/>
                <w:szCs w:val="22"/>
              </w:rPr>
              <w:t>(</w:t>
            </w: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停招</w:t>
            </w:r>
            <w:r>
              <w:rPr>
                <w:rFonts w:eastAsia="DFKai-SB" w:cs="DFKai-SB" w:ascii="DFKai-SB" w:hAnsi="DFKai-SB"/>
                <w:color w:val="auto"/>
                <w:sz w:val="22"/>
                <w:szCs w:val="22"/>
              </w:rPr>
              <w:t>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商學研究所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商業管理學士學位學程</w:t>
            </w:r>
            <w:r>
              <w:rPr>
                <w:rFonts w:ascii="DFKai-SB" w:hAnsi="DFKai-SB" w:cs="DFKai-SB" w:eastAsia="DFKai-SB"/>
                <w:color w:themeColor="text1" w:val="000000"/>
                <w:sz w:val="20"/>
                <w:szCs w:val="20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資訊管理學系、會計學系、科技管理碩士學位學程、國際創業與經營管理碩士學位學程、企業管理學系管理學碩士在職專班、金融與國際企業學系金融碩士在職專班、統計資訊學系應用統計碩士在職專班、社會企業碩士在職學位學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565" w:hRule="atLeast"/>
          <w:cantSplit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不分院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跨領域全英語學士學位學程</w:t>
            </w:r>
            <w:r>
              <w:rPr>
                <w:rFonts w:eastAsia="DFKai-SB" w:cs="DFKai-SB" w:ascii="DFKai-SB" w:hAnsi="DFKai-SB"/>
                <w:color w:themeColor="text1" w:val="000000"/>
                <w:sz w:val="22"/>
                <w:szCs w:val="22"/>
              </w:rPr>
              <w:t>(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輔仁國際書院</w:t>
            </w:r>
            <w:r>
              <w:rPr>
                <w:rFonts w:eastAsia="DFKai-SB" w:cs="DFKai-SB" w:ascii="DFKai-SB" w:hAnsi="DFKai-SB"/>
                <w:color w:themeColor="text1" w:val="000000"/>
                <w:sz w:val="22"/>
                <w:szCs w:val="22"/>
              </w:rPr>
              <w:t>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441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</w:rPr>
            </w:pPr>
            <w:r>
              <w:rPr>
                <w:rFonts w:ascii="DFKai-SB" w:hAnsi="DFKai-SB" w:cs="DFKai-SB" w:eastAsia="DFKai-SB"/>
              </w:rPr>
              <w:t>合計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eastAsia="DFKai-SB" w:cs="DFKai-SB" w:ascii="DFKai-SB" w:hAnsi="DFKai-SB"/>
              </w:rPr>
              <w:t>55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</w:rPr>
            </w:pPr>
            <w:r>
              <w:rPr>
                <w:rFonts w:eastAsia="DFKai-SB" w:cs="DFKai-SB" w:ascii="DFKai-SB" w:hAnsi="DFKai-SB"/>
              </w:rPr>
              <w:t>48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FF0000"/>
              </w:rPr>
            </w:pPr>
            <w:r>
              <w:rPr>
                <w:rFonts w:eastAsia="DFKai-SB" w:cs="DFKai-SB" w:ascii="DFKai-SB" w:hAnsi="DFKai-SB"/>
                <w:color w:themeColor="text1" w:val="000000"/>
              </w:rPr>
              <w:t>12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</w:rPr>
            </w:pPr>
            <w:r>
              <w:rPr>
                <w:rFonts w:eastAsia="DFKai-SB" w:cs="DFKai-SB" w:ascii="DFKai-SB" w:hAnsi="DFKai-SB"/>
                <w:color w:themeColor="text1" w:val="000000"/>
              </w:rPr>
              <w:t>18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eastAsia="DFKai-SB" w:cs="DFKai-SB" w:ascii="DFKai-SB" w:hAnsi="DFKai-SB"/>
                <w:color w:themeColor="text1" w:val="00000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eastAsia="DFKai-SB" w:cs="DFKai-SB" w:ascii="DFKai-SB" w:hAnsi="DFKai-SB"/>
                <w:color w:themeColor="text1" w:val="000000"/>
              </w:rPr>
              <w:t>1</w:t>
            </w:r>
          </w:p>
        </w:tc>
      </w:tr>
    </w:tbl>
    <w:p>
      <w:pPr>
        <w:pStyle w:val="Normal"/>
        <w:spacing w:lineRule="exact" w:line="360"/>
        <w:rPr>
          <w:rFonts w:ascii="DFKai-SB" w:hAnsi="DFKai-SB" w:eastAsia="DFKai-SB" w:cs="DFKai-SB"/>
          <w:sz w:val="26"/>
          <w:szCs w:val="26"/>
        </w:rPr>
      </w:pPr>
      <w:r>
        <w:rPr>
          <w:rFonts w:eastAsia="DFKai-SB" w:cs="DFKai-SB" w:ascii="DFKai-SB" w:hAnsi="DFKai-SB"/>
          <w:sz w:val="26"/>
          <w:szCs w:val="26"/>
        </w:rPr>
        <w:t>(202</w:t>
      </w:r>
      <w:r>
        <w:rPr>
          <w:rFonts w:eastAsia="DFKai-SB" w:cs="DFKai-SB" w:ascii="DFKai-SB" w:hAnsi="DFKai-SB"/>
          <w:sz w:val="26"/>
          <w:szCs w:val="26"/>
        </w:rPr>
        <w:t>5</w:t>
      </w:r>
      <w:r>
        <w:rPr>
          <w:rFonts w:eastAsia="DFKai-SB" w:cs="DFKai-SB" w:ascii="DFKai-SB" w:hAnsi="DFKai-SB"/>
          <w:sz w:val="26"/>
          <w:szCs w:val="26"/>
        </w:rPr>
        <w:t>.</w:t>
      </w:r>
      <w:r>
        <w:rPr>
          <w:rFonts w:eastAsia="DFKai-SB" w:cs="DFKai-SB" w:ascii="DFKai-SB" w:hAnsi="DFKai-SB"/>
          <w:sz w:val="26"/>
          <w:szCs w:val="26"/>
        </w:rPr>
        <w:t>3</w:t>
      </w:r>
      <w:r>
        <w:rPr>
          <w:rFonts w:eastAsia="DFKai-SB" w:cs="DFKai-SB" w:ascii="DFKai-SB" w:hAnsi="DFKai-SB"/>
          <w:sz w:val="26"/>
          <w:szCs w:val="26"/>
        </w:rPr>
        <w:t>)</w:t>
      </w:r>
    </w:p>
    <w:p>
      <w:pPr>
        <w:pStyle w:val="Normal"/>
        <w:spacing w:lineRule="exact" w:line="360"/>
        <w:rPr>
          <w:rFonts w:ascii="DFKai-SB" w:hAnsi="DFKai-SB" w:eastAsia="DFKai-SB" w:cs="DFKai-SB"/>
          <w:color w:val="000000"/>
          <w:sz w:val="26"/>
          <w:szCs w:val="26"/>
        </w:rPr>
      </w:pPr>
      <w:r>
        <w:rPr>
          <w:rFonts w:ascii="DFKai-SB" w:hAnsi="DFKai-SB" w:cs="DFKai-SB" w:eastAsia="DFKai-SB"/>
          <w:b/>
          <w:bCs/>
          <w:color w:themeColor="text1" w:val="000000"/>
          <w:sz w:val="26"/>
          <w:szCs w:val="26"/>
        </w:rPr>
        <w:t>共</w:t>
      </w:r>
      <w:r>
        <w:rPr>
          <w:rFonts w:eastAsia="DFKai-SB" w:cs="DFKai-SB" w:ascii="DFKai-SB" w:hAnsi="DFKai-SB"/>
          <w:b/>
          <w:bCs/>
          <w:sz w:val="26"/>
          <w:szCs w:val="26"/>
        </w:rPr>
        <w:t>82</w:t>
      </w:r>
      <w:r>
        <w:rPr>
          <w:rFonts w:ascii="DFKai-SB" w:hAnsi="DFKai-SB" w:cs="DFKai-SB" w:eastAsia="DFKai-SB"/>
          <w:b/>
          <w:bCs/>
          <w:color w:themeColor="text1" w:val="000000"/>
          <w:sz w:val="26"/>
          <w:szCs w:val="26"/>
        </w:rPr>
        <w:t>單位</w:t>
      </w:r>
      <w:r>
        <w:rPr>
          <w:rFonts w:ascii="DFKai-SB" w:hAnsi="DFKai-SB" w:cs="DFKai-SB" w:eastAsia="DFKai-SB"/>
          <w:sz w:val="26"/>
          <w:szCs w:val="26"/>
        </w:rPr>
        <w:t>：</w:t>
      </w:r>
      <w:r>
        <w:rPr>
          <w:rFonts w:eastAsia="DFKai-SB" w:cs="DFKai-SB" w:ascii="DFKai-SB" w:hAnsi="DFKai-SB"/>
          <w:sz w:val="26"/>
          <w:szCs w:val="26"/>
        </w:rPr>
        <w:t>12</w:t>
      </w:r>
      <w:r>
        <w:rPr>
          <w:rFonts w:ascii="DFKai-SB" w:hAnsi="DFKai-SB" w:cs="DFKai-SB" w:eastAsia="DFKai-SB"/>
          <w:sz w:val="26"/>
          <w:szCs w:val="26"/>
        </w:rPr>
        <w:t>學院。</w:t>
      </w:r>
      <w:r>
        <w:rPr>
          <w:rFonts w:eastAsia="DFKai-SB" w:cs="DFKai-SB" w:ascii="DFKai-SB" w:hAnsi="DFKai-SB"/>
          <w:sz w:val="26"/>
          <w:szCs w:val="26"/>
        </w:rPr>
        <w:t>48</w:t>
      </w:r>
      <w:r>
        <w:rPr>
          <w:rFonts w:ascii="DFKai-SB" w:hAnsi="DFKai-SB" w:cs="DFKai-SB" w:eastAsia="DFKai-SB"/>
          <w:sz w:val="26"/>
          <w:szCs w:val="26"/>
        </w:rPr>
        <w:t>學系、</w:t>
      </w:r>
      <w:r>
        <w:rPr>
          <w:rFonts w:eastAsia="DFKai-SB" w:cs="DFKai-SB" w:ascii="DFKai-SB" w:hAnsi="DFKai-SB"/>
          <w:sz w:val="26"/>
          <w:szCs w:val="26"/>
        </w:rPr>
        <w:t>7</w:t>
      </w:r>
      <w:r>
        <w:rPr>
          <w:rFonts w:ascii="DFKai-SB" w:hAnsi="DFKai-SB" w:cs="DFKai-SB" w:eastAsia="DFKai-SB"/>
          <w:sz w:val="26"/>
          <w:szCs w:val="26"/>
        </w:rPr>
        <w:t>獨立所</w:t>
      </w:r>
      <w:r>
        <w:rPr>
          <w:rFonts w:eastAsia="DFKai-SB" w:cs="DFKai-SB" w:ascii="DFKai-SB" w:hAnsi="DFKai-SB"/>
          <w:sz w:val="20"/>
          <w:szCs w:val="20"/>
        </w:rPr>
        <w:t>(</w:t>
      </w:r>
      <w:r>
        <w:rPr>
          <w:rFonts w:ascii="DFKai-SB" w:hAnsi="DFKai-SB" w:cs="DFKai-SB" w:eastAsia="DFKai-SB"/>
          <w:sz w:val="20"/>
          <w:szCs w:val="20"/>
        </w:rPr>
        <w:t>含碩博</w:t>
      </w:r>
      <w:r>
        <w:rPr>
          <w:rFonts w:eastAsia="DFKai-SB" w:cs="DFKai-SB" w:ascii="DFKai-SB" w:hAnsi="DFKai-SB"/>
          <w:color w:themeColor="text1" w:val="000000"/>
          <w:sz w:val="20"/>
          <w:szCs w:val="20"/>
        </w:rPr>
        <w:t>)</w:t>
      </w:r>
      <w:r>
        <w:rPr>
          <w:rFonts w:ascii="DFKai-SB" w:hAnsi="DFKai-SB" w:cs="DFKai-SB" w:eastAsia="DFKai-SB"/>
          <w:color w:themeColor="text1" w:val="000000"/>
          <w:sz w:val="26"/>
          <w:szCs w:val="26"/>
        </w:rPr>
        <w:t>、</w:t>
      </w:r>
      <w:r>
        <w:rPr>
          <w:rFonts w:eastAsia="DFKai-SB" w:cs="DFKai-SB" w:ascii="DFKai-SB" w:hAnsi="DFKai-SB"/>
          <w:sz w:val="26"/>
          <w:szCs w:val="26"/>
        </w:rPr>
        <w:t>27</w:t>
      </w:r>
      <w:r>
        <w:rPr>
          <w:rFonts w:ascii="DFKai-SB" w:hAnsi="DFKai-SB" w:cs="DFKai-SB" w:eastAsia="DFKai-SB"/>
          <w:sz w:val="26"/>
          <w:szCs w:val="26"/>
        </w:rPr>
        <w:t>學位學程</w:t>
      </w:r>
      <w:r>
        <w:rPr>
          <w:rFonts w:eastAsia="DFKai-SB" w:cs="DFKai-SB" w:ascii="DFKai-SB" w:hAnsi="DFKai-SB"/>
          <w:sz w:val="20"/>
          <w:szCs w:val="20"/>
        </w:rPr>
        <w:t>(</w:t>
      </w:r>
      <w:r>
        <w:rPr>
          <w:rFonts w:ascii="DFKai-SB" w:hAnsi="DFKai-SB" w:cs="DFKai-SB" w:eastAsia="DFKai-SB"/>
          <w:sz w:val="20"/>
          <w:szCs w:val="20"/>
        </w:rPr>
        <w:t>日學：</w:t>
      </w:r>
      <w:r>
        <w:rPr>
          <w:rFonts w:eastAsia="DFKai-SB" w:cs="DFKai-SB" w:ascii="DFKai-SB" w:hAnsi="DFKai-SB"/>
          <w:sz w:val="20"/>
          <w:szCs w:val="20"/>
        </w:rPr>
        <w:t xml:space="preserve">7  </w:t>
      </w:r>
      <w:r>
        <w:rPr>
          <w:rFonts w:ascii="DFKai-SB" w:hAnsi="DFKai-SB" w:cs="DFKai-SB" w:eastAsia="DFKai-SB"/>
          <w:sz w:val="20"/>
          <w:szCs w:val="20"/>
        </w:rPr>
        <w:t>進學：</w:t>
      </w:r>
      <w:r>
        <w:rPr>
          <w:rFonts w:eastAsia="DFKai-SB" w:cs="DFKai-SB" w:ascii="DFKai-SB" w:hAnsi="DFKai-SB"/>
          <w:sz w:val="20"/>
          <w:szCs w:val="20"/>
        </w:rPr>
        <w:t>10</w:t>
      </w:r>
      <w:r>
        <w:rPr>
          <w:rFonts w:eastAsia="DFKai-SB" w:cs="DFKai-SB" w:ascii="DFKai-SB" w:hAnsi="DFKai-SB"/>
          <w:color w:themeColor="text1" w:val="000000"/>
          <w:sz w:val="20"/>
          <w:szCs w:val="20"/>
        </w:rPr>
        <w:t xml:space="preserve">  </w:t>
      </w:r>
      <w:r>
        <w:rPr>
          <w:rFonts w:ascii="DFKai-SB" w:hAnsi="DFKai-SB" w:cs="DFKai-SB" w:eastAsia="DFKai-SB"/>
          <w:color w:themeColor="text1" w:val="000000"/>
          <w:sz w:val="20"/>
          <w:szCs w:val="20"/>
        </w:rPr>
        <w:t>碩士：</w:t>
      </w:r>
      <w:r>
        <w:rPr>
          <w:rFonts w:eastAsia="DFKai-SB" w:cs="DFKai-SB" w:ascii="DFKai-SB" w:hAnsi="DFKai-SB"/>
          <w:color w:themeColor="text1" w:val="000000"/>
          <w:sz w:val="20"/>
          <w:szCs w:val="20"/>
        </w:rPr>
        <w:t xml:space="preserve">3  </w:t>
      </w:r>
      <w:r>
        <w:rPr>
          <w:rFonts w:ascii="DFKai-SB" w:hAnsi="DFKai-SB" w:cs="DFKai-SB" w:eastAsia="DFKai-SB"/>
          <w:color w:themeColor="text1" w:val="000000"/>
          <w:sz w:val="20"/>
          <w:szCs w:val="20"/>
        </w:rPr>
        <w:t>碩專：</w:t>
      </w:r>
      <w:r>
        <w:rPr>
          <w:rFonts w:eastAsia="DFKai-SB" w:cs="DFKai-SB" w:ascii="DFKai-SB" w:hAnsi="DFKai-SB"/>
          <w:color w:themeColor="text1" w:val="000000"/>
          <w:sz w:val="20"/>
          <w:szCs w:val="20"/>
        </w:rPr>
        <w:t xml:space="preserve">5 </w:t>
      </w:r>
      <w:r>
        <w:rPr>
          <w:rFonts w:ascii="DFKai-SB" w:hAnsi="DFKai-SB" w:cs="DFKai-SB" w:eastAsia="DFKai-SB"/>
          <w:color w:themeColor="text1" w:val="000000"/>
          <w:sz w:val="20"/>
          <w:szCs w:val="20"/>
        </w:rPr>
        <w:t>博士：</w:t>
      </w:r>
      <w:r>
        <w:rPr>
          <w:rFonts w:eastAsia="DFKai-SB" w:cs="DFKai-SB" w:ascii="DFKai-SB" w:hAnsi="DFKai-SB"/>
          <w:color w:themeColor="text1" w:val="000000"/>
          <w:sz w:val="20"/>
          <w:szCs w:val="20"/>
        </w:rPr>
        <w:t>2)</w:t>
      </w:r>
    </w:p>
    <w:p>
      <w:pPr>
        <w:pStyle w:val="Normal"/>
        <w:spacing w:lineRule="exact" w:line="320" w:before="180" w:after="90"/>
        <w:rPr>
          <w:rFonts w:ascii="DFKai-SB" w:hAnsi="DFKai-SB" w:eastAsia="DFKai-SB" w:cs="DFKai-SB"/>
          <w:b/>
          <w:bCs/>
          <w:sz w:val="26"/>
          <w:szCs w:val="26"/>
        </w:rPr>
      </w:pPr>
      <w:bookmarkStart w:id="0" w:name="_Hlk82434762"/>
      <w:r>
        <w:rPr>
          <w:rFonts w:ascii="DFKai-SB" w:hAnsi="DFKai-SB" w:cs="DFKai-SB" w:eastAsia="DFKai-SB"/>
          <w:b/>
          <w:bCs/>
          <w:sz w:val="26"/>
          <w:szCs w:val="26"/>
        </w:rPr>
        <w:t>※</w:t>
      </w:r>
      <w:r>
        <w:rPr>
          <w:rFonts w:eastAsia="DFKai-SB" w:cs="DFKai-SB" w:ascii="DFKai-SB" w:hAnsi="DFKai-SB"/>
          <w:b/>
          <w:bCs/>
          <w:sz w:val="26"/>
          <w:szCs w:val="26"/>
        </w:rPr>
        <w:t>11</w:t>
      </w:r>
      <w:r>
        <w:rPr>
          <w:rFonts w:eastAsia="DFKai-SB" w:cs="DFKai-SB" w:ascii="DFKai-SB" w:hAnsi="DFKai-SB"/>
          <w:b/>
          <w:bCs/>
          <w:sz w:val="26"/>
          <w:szCs w:val="26"/>
        </w:rPr>
        <w:t>4</w:t>
      </w:r>
      <w:r>
        <w:rPr>
          <w:rFonts w:ascii="DFKai-SB" w:hAnsi="DFKai-SB" w:cs="DFKai-SB" w:eastAsia="DFKai-SB"/>
          <w:b/>
          <w:bCs/>
          <w:sz w:val="26"/>
          <w:szCs w:val="26"/>
        </w:rPr>
        <w:t>學年度教育部核定本校增設調整系所學程班組情形：</w:t>
      </w:r>
    </w:p>
    <w:p>
      <w:pPr>
        <w:pStyle w:val="Normal"/>
        <w:spacing w:lineRule="exact" w:line="320" w:before="180" w:after="90"/>
        <w:rPr>
          <w:rFonts w:ascii="標楷體" w:hAnsi="標楷體" w:eastAsia="標楷體" w:cs="細明體"/>
          <w:b/>
          <w:bCs/>
          <w:sz w:val="26"/>
          <w:szCs w:val="26"/>
        </w:rPr>
      </w:pPr>
      <w:r>
        <w:rPr>
          <w:rFonts w:eastAsia="標楷體" w:cs="細明體" w:ascii="標楷體" w:hAnsi="標楷體"/>
          <w:b/>
          <w:bCs/>
          <w:sz w:val="26"/>
          <w:szCs w:val="26"/>
        </w:rPr>
        <w:t>11</w:t>
      </w:r>
      <w:r>
        <w:rPr>
          <w:rFonts w:eastAsia="標楷體" w:cs="細明體" w:ascii="標楷體" w:hAnsi="標楷體"/>
          <w:b/>
          <w:bCs/>
          <w:sz w:val="26"/>
          <w:szCs w:val="26"/>
        </w:rPr>
        <w:t>3</w:t>
      </w:r>
      <w:r>
        <w:rPr>
          <w:rFonts w:ascii="標楷體" w:hAnsi="標楷體" w:cs="細明體" w:eastAsia="標楷體"/>
          <w:b/>
          <w:bCs/>
          <w:sz w:val="26"/>
          <w:szCs w:val="26"/>
        </w:rPr>
        <w:t>年</w:t>
      </w:r>
      <w:r>
        <w:rPr>
          <w:rFonts w:eastAsia="標楷體" w:cs="細明體" w:ascii="標楷體" w:hAnsi="標楷體"/>
          <w:b/>
          <w:bCs/>
          <w:sz w:val="26"/>
          <w:szCs w:val="26"/>
        </w:rPr>
        <w:t>9</w:t>
      </w:r>
      <w:r>
        <w:rPr>
          <w:rFonts w:ascii="標楷體" w:hAnsi="標楷體" w:cs="細明體" w:eastAsia="標楷體"/>
          <w:b/>
          <w:bCs/>
          <w:sz w:val="26"/>
          <w:szCs w:val="26"/>
        </w:rPr>
        <w:t>月</w:t>
      </w:r>
      <w:r>
        <w:rPr>
          <w:rFonts w:eastAsia="標楷體" w:cs="細明體" w:ascii="標楷體" w:hAnsi="標楷體"/>
          <w:b/>
          <w:bCs/>
          <w:sz w:val="26"/>
          <w:szCs w:val="26"/>
        </w:rPr>
        <w:t>0</w:t>
      </w:r>
      <w:r>
        <w:rPr>
          <w:rFonts w:eastAsia="標楷體" w:cs="細明體" w:ascii="標楷體" w:hAnsi="標楷體"/>
          <w:b/>
          <w:bCs/>
          <w:sz w:val="26"/>
          <w:szCs w:val="26"/>
        </w:rPr>
        <w:t>4</w:t>
      </w:r>
      <w:r>
        <w:rPr>
          <w:rFonts w:ascii="標楷體" w:hAnsi="標楷體" w:cs="細明體" w:eastAsia="標楷體"/>
          <w:b/>
          <w:bCs/>
          <w:sz w:val="26"/>
          <w:szCs w:val="26"/>
        </w:rPr>
        <w:t>日 臺教高</w:t>
      </w:r>
      <w:r>
        <w:rPr>
          <w:rFonts w:eastAsia="標楷體" w:cs="細明體" w:ascii="標楷體" w:hAnsi="標楷體"/>
          <w:b/>
          <w:bCs/>
          <w:sz w:val="26"/>
          <w:szCs w:val="26"/>
        </w:rPr>
        <w:t>(</w:t>
      </w:r>
      <w:r>
        <w:rPr>
          <w:rFonts w:ascii="標楷體" w:hAnsi="標楷體" w:cs="細明體" w:eastAsia="標楷體"/>
          <w:b/>
          <w:bCs/>
          <w:sz w:val="26"/>
          <w:szCs w:val="26"/>
        </w:rPr>
        <w:t>四</w:t>
      </w:r>
      <w:r>
        <w:rPr>
          <w:rFonts w:eastAsia="標楷體" w:cs="細明體" w:ascii="標楷體" w:hAnsi="標楷體"/>
          <w:b/>
          <w:bCs/>
          <w:sz w:val="26"/>
          <w:szCs w:val="26"/>
        </w:rPr>
        <w:t>)</w:t>
      </w:r>
      <w:r>
        <w:rPr>
          <w:rFonts w:ascii="標楷體" w:hAnsi="標楷體" w:cs="細明體" w:eastAsia="標楷體"/>
          <w:b/>
          <w:bCs/>
          <w:sz w:val="26"/>
          <w:szCs w:val="26"/>
        </w:rPr>
        <w:t>字第</w:t>
      </w:r>
      <w:r>
        <w:rPr>
          <w:rFonts w:eastAsia="標楷體" w:cs="細明體" w:ascii="標楷體" w:hAnsi="標楷體"/>
          <w:b/>
          <w:bCs/>
          <w:sz w:val="26"/>
          <w:szCs w:val="26"/>
        </w:rPr>
        <w:t>11</w:t>
      </w:r>
      <w:r>
        <w:rPr>
          <w:rFonts w:eastAsia="標楷體" w:cs="細明體" w:ascii="標楷體" w:hAnsi="標楷體"/>
          <w:b/>
          <w:bCs/>
          <w:sz w:val="26"/>
          <w:szCs w:val="26"/>
        </w:rPr>
        <w:t>3</w:t>
      </w:r>
      <w:r>
        <w:rPr>
          <w:rFonts w:eastAsia="標楷體" w:cs="細明體" w:ascii="標楷體" w:hAnsi="標楷體"/>
          <w:b/>
          <w:bCs/>
          <w:sz w:val="26"/>
          <w:szCs w:val="26"/>
        </w:rPr>
        <w:t>2202</w:t>
      </w:r>
      <w:r>
        <w:rPr>
          <w:rFonts w:eastAsia="標楷體" w:cs="細明體" w:ascii="標楷體" w:hAnsi="標楷體"/>
          <w:b/>
          <w:bCs/>
          <w:sz w:val="26"/>
          <w:szCs w:val="26"/>
        </w:rPr>
        <w:t>481</w:t>
      </w:r>
      <w:r>
        <w:rPr>
          <w:rFonts w:ascii="標楷體" w:hAnsi="標楷體" w:cs="細明體" w:eastAsia="標楷體"/>
          <w:b/>
          <w:bCs/>
          <w:sz w:val="26"/>
          <w:szCs w:val="26"/>
        </w:rPr>
        <w:t>號函</w:t>
      </w:r>
    </w:p>
    <w:p>
      <w:pPr>
        <w:pStyle w:val="ListParagraph"/>
        <w:widowControl w:val="false"/>
        <w:numPr>
          <w:ilvl w:val="0"/>
          <w:numId w:val="2"/>
        </w:numPr>
        <w:suppressLineNumbers w:val="0"/>
        <w:bidi w:val="0"/>
        <w:spacing w:lineRule="exact" w:line="320" w:beforeAutospacing="0" w:before="0" w:afterAutospacing="0" w:after="60"/>
        <w:ind w:hanging="480" w:left="810"/>
        <w:jc w:val="left"/>
        <w:rPr>
          <w:rFonts w:ascii="標楷體" w:hAnsi="標楷體" w:eastAsia="標楷體" w:cs="細明體"/>
        </w:rPr>
      </w:pPr>
      <w:r>
        <w:rPr>
          <w:rFonts w:ascii="標楷體" w:hAnsi="標楷體" w:cs="細明體" w:eastAsia="標楷體"/>
        </w:rPr>
        <w:t>更名：「</w:t>
      </w:r>
      <w:r>
        <w:rPr>
          <w:rFonts w:ascii="DFKai-SB" w:hAnsi="DFKai-SB" w:cs="DFKai-SB" w:eastAsia="DFKai-SB"/>
          <w:color w:themeColor="text1" w:val="000000"/>
          <w:sz w:val="22"/>
          <w:szCs w:val="22"/>
        </w:rPr>
        <w:t>資訊創新與數位生活進修學士學位學程</w:t>
      </w:r>
      <w:r>
        <w:rPr>
          <w:rFonts w:ascii="標楷體" w:hAnsi="標楷體" w:eastAsia="標楷體"/>
          <w:color w:themeColor="text1" w:val="000000"/>
          <w:sz w:val="22"/>
          <w:szCs w:val="22"/>
        </w:rPr>
        <w:t>」更名為</w:t>
      </w:r>
      <w:r>
        <w:rPr>
          <w:rFonts w:ascii="標楷體" w:hAnsi="標楷體" w:cs="細明體" w:eastAsia="標楷體"/>
        </w:rPr>
        <w:t>「</w:t>
      </w:r>
      <w:r>
        <w:rPr>
          <w:rFonts w:ascii="DFKai-SB" w:hAnsi="DFKai-SB" w:cs="DFKai-SB" w:eastAsia="DFKai-SB"/>
          <w:color w:val="auto"/>
          <w:sz w:val="22"/>
          <w:szCs w:val="22"/>
        </w:rPr>
        <w:t>運動資訊與健康生活進修學士學位學程</w:t>
      </w:r>
      <w:r>
        <w:rPr>
          <w:rFonts w:ascii="標楷體" w:hAnsi="標楷體" w:cs="細明體" w:eastAsia="標楷體"/>
        </w:rPr>
        <w:t>」</w:t>
      </w:r>
      <w:bookmarkEnd w:id="0"/>
    </w:p>
    <w:p>
      <w:pPr>
        <w:pStyle w:val="ListParagraph"/>
        <w:numPr>
          <w:ilvl w:val="0"/>
          <w:numId w:val="2"/>
        </w:numPr>
        <w:suppressLineNumbers w:val="0"/>
        <w:bidi w:val="0"/>
        <w:spacing w:lineRule="exact" w:line="320" w:beforeAutospacing="0" w:before="0" w:afterAutospacing="0" w:after="60"/>
        <w:ind w:hanging="480" w:left="810"/>
        <w:jc w:val="left"/>
        <w:rPr>
          <w:rFonts w:ascii="標楷體" w:hAnsi="標楷體" w:eastAsia="標楷體" w:cs="細明體"/>
        </w:rPr>
      </w:pPr>
      <w:r>
        <w:rPr>
          <w:rFonts w:ascii="標楷體" w:hAnsi="標楷體" w:cs="細明體" w:eastAsia="標楷體"/>
        </w:rPr>
        <w:t>裁撤：數學系純數組</w:t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標楷體">
    <w:charset w:val="01"/>
    <w:family w:val="auto"/>
    <w:pitch w:val="variable"/>
  </w:font>
  <w:font w:name="DFKai-SB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80378"/>
    <w:pPr>
      <w:widowControl w:val="fals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標題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T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6a0e75"/>
    <w:pPr/>
    <w:rPr>
      <w:rFonts w:ascii="Arial" w:hAnsi="Arial"/>
      <w:sz w:val="18"/>
      <w:szCs w:val="18"/>
    </w:rPr>
  </w:style>
  <w:style w:type="paragraph" w:styleId="Style16">
    <w:name w:val="頁首與頁尾"/>
    <w:basedOn w:val="Normal"/>
    <w:qFormat/>
    <w:pPr/>
    <w:rPr/>
  </w:style>
  <w:style w:type="paragraph" w:styleId="Header">
    <w:name w:val="header"/>
    <w:basedOn w:val="Normal"/>
    <w:rsid w:val="00c330e3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rsid w:val="00c330e3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d16ed"/>
    <w:pPr>
      <w:ind w:left="480"/>
    </w:pPr>
    <w:rPr/>
  </w:style>
  <w:style w:type="paragraph" w:styleId="Style17">
    <w:name w:val="外框內容"/>
    <w:basedOn w:val="Normal"/>
    <w:qFormat/>
    <w:pPr/>
    <w:rPr/>
  </w:style>
  <w:style w:type="numbering" w:styleId="Style18" w:default="1">
    <w:name w:val="無清單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d0b50-5e9d-458e-a4e6-d914194fed9a">
      <Terms xmlns="http://schemas.microsoft.com/office/infopath/2007/PartnerControls"/>
    </lcf76f155ced4ddcb4097134ff3c332f>
    <TaxCatchAll xmlns="44b7d6d0-123c-4d51-926b-5209d4a015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2484DD04D83EB4BACB01B54482A6ACF" ma:contentTypeVersion="9" ma:contentTypeDescription="建立新的文件。" ma:contentTypeScope="" ma:versionID="90fe1a8c48b44cfb1204da27f5c31d80">
  <xsd:schema xmlns:xsd="http://www.w3.org/2001/XMLSchema" xmlns:xs="http://www.w3.org/2001/XMLSchema" xmlns:p="http://schemas.microsoft.com/office/2006/metadata/properties" xmlns:ns2="90fd0b50-5e9d-458e-a4e6-d914194fed9a" xmlns:ns3="44b7d6d0-123c-4d51-926b-5209d4a015bf" targetNamespace="http://schemas.microsoft.com/office/2006/metadata/properties" ma:root="true" ma:fieldsID="865848aef484ae1e66fa4ef78279e80f" ns2:_="" ns3:_="">
    <xsd:import namespace="90fd0b50-5e9d-458e-a4e6-d914194fed9a"/>
    <xsd:import namespace="44b7d6d0-123c-4d51-926b-5209d4a01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d0b50-5e9d-458e-a4e6-d914194f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影像標籤" ma:readOnly="false" ma:fieldId="{5cf76f15-5ced-4ddc-b409-7134ff3c332f}" ma:taxonomyMulti="true" ma:sspId="88ac15c8-f052-42df-bf34-000e20975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7d6d0-123c-4d51-926b-5209d4a015b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c892e0-1b11-4979-a2ef-ceb01ab4daa6}" ma:internalName="TaxCatchAll" ma:showField="CatchAllData" ma:web="44b7d6d0-123c-4d51-926b-5209d4a01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ADFD9-EB5C-4BFE-A491-AEBD6EFB348B}">
  <ds:schemaRefs>
    <ds:schemaRef ds:uri="http://schemas.microsoft.com/office/2006/metadata/properties"/>
    <ds:schemaRef ds:uri="http://schemas.microsoft.com/office/infopath/2007/PartnerControls"/>
    <ds:schemaRef ds:uri="90fd0b50-5e9d-458e-a4e6-d914194fed9a"/>
    <ds:schemaRef ds:uri="44b7d6d0-123c-4d51-926b-5209d4a015bf"/>
  </ds:schemaRefs>
</ds:datastoreItem>
</file>

<file path=customXml/itemProps2.xml><?xml version="1.0" encoding="utf-8"?>
<ds:datastoreItem xmlns:ds="http://schemas.openxmlformats.org/officeDocument/2006/customXml" ds:itemID="{5778523B-315C-4970-B0D1-EFA57EDAB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1EBBA-8657-493A-9A7A-E7C94CDCE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d0b50-5e9d-458e-a4e6-d914194fed9a"/>
    <ds:schemaRef ds:uri="44b7d6d0-123c-4d51-926b-5209d4a01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LibreOffice/24.8.5.2$Linux_X86_64 LibreOffice_project/27b361b745d0ea8f99bc93dfcb7a39098dfa5fff</Application>
  <AppVersion>15.0000</AppVersion>
  <Pages>3</Pages>
  <Words>1698</Words>
  <Characters>1733</Characters>
  <CharactersWithSpaces>1742</CharactersWithSpaces>
  <Paragraphs>92</Paragraphs>
  <Company>FJU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2023-03-13T01:50:00Z</dcterms:created>
  <dc:creator>USER</dc:creator>
  <dc:description/>
  <dc:language>zh-TW</dc:language>
  <cp:lastModifiedBy/>
  <cp:lastPrinted>2008-01-08T04:08:00Z</cp:lastPrinted>
  <dcterms:modified xsi:type="dcterms:W3CDTF">2025-03-18T15:33:20Z</dcterms:modified>
  <cp:revision>43</cp:revision>
  <dc:subject/>
  <dc:title>輔仁大學九十五學年度各院系所一覽表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0x010100C2484DD04D83EB4BACB01B54482A6ACF</vt:lpwstr>
  </property>
  <property fmtid="{D5CDD505-2E9C-101B-9397-08002B2CF9AE}" pid="3" name="MediaServiceImageTags">
    <vt:lpwstr/>
  </property>
</Properties>
</file>